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EE2BE5" w:rsidRPr="00EE2BE5" w14:paraId="7180EEA6" w14:textId="77777777" w:rsidTr="00EE2BE5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12619C7A" w14:textId="77777777" w:rsidR="00EE2BE5" w:rsidRPr="00EE2BE5" w:rsidRDefault="00EE2BE5" w:rsidP="00EE2BE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E2BE5">
              <w:rPr>
                <w:rFonts w:ascii="Verdana" w:eastAsia="Times New Roman" w:hAnsi="Verdana" w:cs="Courier New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SECTION 10. STABILITY AND REACTIVITY </w:t>
            </w:r>
          </w:p>
        </w:tc>
        <w:tc>
          <w:tcPr>
            <w:tcW w:w="250" w:type="pct"/>
            <w:vAlign w:val="center"/>
            <w:hideMark/>
          </w:tcPr>
          <w:p w14:paraId="45BCA7DF" w14:textId="2618DAD8" w:rsidR="00EE2BE5" w:rsidRPr="00EE2BE5" w:rsidRDefault="00EE2BE5" w:rsidP="00EE2B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32"/>
                <w:szCs w:val="32"/>
                <w14:ligatures w14:val="none"/>
              </w:rPr>
            </w:pPr>
            <w:r w:rsidRPr="00EE2BE5">
              <w:rPr>
                <w:rFonts w:ascii="Courier New" w:eastAsia="Times New Roman" w:hAnsi="Courier New" w:cs="Courier New"/>
                <w:noProof/>
                <w:color w:val="0000FF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128BA5BA" wp14:editId="7087D590">
                  <wp:extent cx="319405" cy="155575"/>
                  <wp:effectExtent l="0" t="0" r="4445" b="0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69900" w14:textId="57AEC9E2" w:rsidR="00446320" w:rsidRPr="00EE2BE5" w:rsidRDefault="00EE2BE5">
      <w:pPr>
        <w:rPr>
          <w:sz w:val="36"/>
          <w:szCs w:val="36"/>
        </w:rPr>
      </w:pPr>
      <w:r w:rsidRPr="00EE2BE5">
        <w:rPr>
          <w:rFonts w:ascii="Courier New" w:eastAsia="Times New Roman" w:hAnsi="Courier New" w:cs="Courier New"/>
          <w:color w:val="000000"/>
          <w:kern w:val="0"/>
          <w:sz w:val="32"/>
          <w:szCs w:val="32"/>
          <w14:ligatures w14:val="none"/>
        </w:rPr>
        <w:br/>
      </w:r>
      <w:r w:rsidRPr="00EE2BE5">
        <w:rPr>
          <w:rFonts w:ascii="Courier New" w:eastAsia="Times New Roman" w:hAnsi="Courier New" w:cs="Courier New"/>
          <w:color w:val="000000"/>
          <w:kern w:val="0"/>
          <w:sz w:val="32"/>
          <w:szCs w:val="32"/>
          <w14:ligatures w14:val="none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t>REACTIVITY: NOT CLASSIFIED AS A REACTIVITY HAZARD.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CHEMICAL STABILITY: STABLE UNDER NORMAL CONDITIONS.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POSSIBILITY OF HAZARDOUS REACTIONS: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COMBUSTIBLE LIQUID.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VAPORS MAY FORM EXPLOSIVE MIXTURE WITH AIR.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USE AT ELEVATED TEMPERATURES MAY FORM HIGHLY HAZARDOUS COMPOUNDS.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CAN REACT WITH STRONG OXIDIZING AGENTS.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ACETIC ACID IS FORMED UPON CONTACT WITH WATER OR HUMID AIR.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HAZARDOUS DECOMPOSITION PRODUCTS WILL BE FORMED AT ELEVATED TEMPERATURES.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CONDITIONS TO AVOID: HEAT, FLAMES AND SPARKS.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INCOMPATIBLE MATERIALS: OXIDIZING AGENTS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HAZARDOUS DECOMPOSITION PRODUCTS:</w:t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</w:r>
      <w:r w:rsidRPr="00EE2BE5">
        <w:rPr>
          <w:rFonts w:ascii="Courier New" w:hAnsi="Courier New" w:cs="Courier New"/>
          <w:color w:val="000000"/>
          <w:sz w:val="28"/>
          <w:szCs w:val="28"/>
        </w:rPr>
        <w:br/>
        <w:t>THERMAL DECOMPOSITION: FORMALDEHYDE</w:t>
      </w:r>
    </w:p>
    <w:sectPr w:rsidR="00446320" w:rsidRPr="00EE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E5"/>
    <w:rsid w:val="00365794"/>
    <w:rsid w:val="00446320"/>
    <w:rsid w:val="00E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7BFD"/>
  <w15:chartTrackingRefBased/>
  <w15:docId w15:val="{A8E06E96-F93C-4E46-B89F-30BE8208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complyplus.grainger.com/grainger/msds.asp?sheetid=415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Equipment</dc:creator>
  <cp:keywords/>
  <dc:description/>
  <cp:lastModifiedBy>Maguire Equipment</cp:lastModifiedBy>
  <cp:revision>1</cp:revision>
  <dcterms:created xsi:type="dcterms:W3CDTF">2023-02-22T18:30:00Z</dcterms:created>
  <dcterms:modified xsi:type="dcterms:W3CDTF">2023-02-22T18:31:00Z</dcterms:modified>
</cp:coreProperties>
</file>